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5866" w14:textId="018723F9" w:rsidR="00DE73D5" w:rsidRPr="00E938DB" w:rsidRDefault="00DE73D5" w:rsidP="00DE73D5">
      <w:pPr>
        <w:pStyle w:val="Heading1"/>
        <w:numPr>
          <w:ilvl w:val="0"/>
          <w:numId w:val="0"/>
        </w:numPr>
        <w:ind w:left="720" w:hanging="720"/>
        <w:jc w:val="center"/>
        <w:rPr>
          <w:rFonts w:asciiTheme="minorHAnsi" w:hAnsiTheme="minorHAnsi" w:cstheme="minorHAnsi"/>
          <w:sz w:val="24"/>
          <w:szCs w:val="24"/>
        </w:rPr>
      </w:pPr>
      <w:bookmarkStart w:id="0" w:name="_Ref504374823"/>
      <w:bookmarkStart w:id="1" w:name="_Toc507139878"/>
      <w:r w:rsidRPr="00E938DB">
        <w:rPr>
          <w:rFonts w:asciiTheme="minorHAnsi" w:hAnsiTheme="minorHAnsi" w:cstheme="minorHAnsi"/>
          <w:b w:val="0"/>
          <w:noProof/>
          <w:sz w:val="24"/>
          <w:szCs w:val="24"/>
        </w:rPr>
        <w:drawing>
          <wp:anchor distT="0" distB="0" distL="114300" distR="114300" simplePos="0" relativeHeight="251659264" behindDoc="0" locked="0" layoutInCell="1" allowOverlap="1" wp14:anchorId="242F5076" wp14:editId="288A0412">
            <wp:simplePos x="0" y="0"/>
            <wp:positionH relativeFrom="margin">
              <wp:posOffset>5285917</wp:posOffset>
            </wp:positionH>
            <wp:positionV relativeFrom="margin">
              <wp:posOffset>89091</wp:posOffset>
            </wp:positionV>
            <wp:extent cx="459410" cy="666078"/>
            <wp:effectExtent l="0" t="0" r="0" b="1270"/>
            <wp:wrapNone/>
            <wp:docPr id="1" name="Picture 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054" cy="671361"/>
                    </a:xfrm>
                    <a:prstGeom prst="rect">
                      <a:avLst/>
                    </a:prstGeom>
                  </pic:spPr>
                </pic:pic>
              </a:graphicData>
            </a:graphic>
            <wp14:sizeRelH relativeFrom="margin">
              <wp14:pctWidth>0</wp14:pctWidth>
            </wp14:sizeRelH>
            <wp14:sizeRelV relativeFrom="margin">
              <wp14:pctHeight>0</wp14:pctHeight>
            </wp14:sizeRelV>
          </wp:anchor>
        </w:drawing>
      </w:r>
      <w:r w:rsidRPr="00E938DB">
        <w:rPr>
          <w:rFonts w:asciiTheme="minorHAnsi" w:hAnsiTheme="minorHAnsi" w:cstheme="minorHAnsi"/>
          <w:sz w:val="24"/>
          <w:szCs w:val="24"/>
        </w:rPr>
        <w:t>SUBJECT ACCESS REQUEST</w:t>
      </w:r>
      <w:r w:rsidR="00CE7EB2" w:rsidRPr="00E938DB">
        <w:rPr>
          <w:rFonts w:asciiTheme="minorHAnsi" w:hAnsiTheme="minorHAnsi" w:cstheme="minorHAnsi"/>
          <w:sz w:val="24"/>
          <w:szCs w:val="24"/>
        </w:rPr>
        <w:t>S</w:t>
      </w:r>
      <w:r w:rsidRPr="00E938DB">
        <w:rPr>
          <w:rFonts w:asciiTheme="minorHAnsi" w:hAnsiTheme="minorHAnsi" w:cstheme="minorHAnsi"/>
          <w:sz w:val="24"/>
          <w:szCs w:val="24"/>
        </w:rPr>
        <w:t xml:space="preserve"> POLICY</w:t>
      </w:r>
      <w:bookmarkEnd w:id="0"/>
      <w:bookmarkEnd w:id="1"/>
    </w:p>
    <w:p w14:paraId="66DF42F4" w14:textId="72BCBA5C" w:rsidR="00B40402" w:rsidRPr="00E938DB" w:rsidRDefault="00CE7EB2" w:rsidP="00CE7EB2">
      <w:pPr>
        <w:pBdr>
          <w:left w:val="single" w:sz="48" w:space="8" w:color="FFF8D4"/>
        </w:pBdr>
        <w:shd w:val="clear" w:color="auto" w:fill="FFFFFF"/>
        <w:spacing w:after="240" w:line="240" w:lineRule="auto"/>
        <w:ind w:left="-300" w:firstLine="300"/>
        <w:outlineLvl w:val="1"/>
        <w:rPr>
          <w:rFonts w:asciiTheme="minorHAnsi" w:hAnsiTheme="minorHAnsi" w:cstheme="minorHAnsi"/>
          <w:b/>
          <w:color w:val="000000"/>
          <w:sz w:val="24"/>
          <w:szCs w:val="24"/>
          <w:lang w:val="en-US" w:eastAsia="en-US"/>
        </w:rPr>
      </w:pPr>
      <w:r w:rsidRPr="00E938DB">
        <w:rPr>
          <w:rFonts w:asciiTheme="minorHAnsi" w:hAnsiTheme="minorHAnsi" w:cstheme="minorHAnsi"/>
          <w:b/>
          <w:color w:val="000000"/>
          <w:sz w:val="24"/>
          <w:szCs w:val="24"/>
          <w:lang w:val="en-US" w:eastAsia="en-US"/>
        </w:rPr>
        <w:t>What is a Subject Access Request (SAR)?</w:t>
      </w:r>
    </w:p>
    <w:p w14:paraId="1E186A40" w14:textId="48E7DEA3" w:rsidR="00B40402" w:rsidRDefault="00B40402" w:rsidP="00B40402">
      <w:pPr>
        <w:shd w:val="clear" w:color="auto" w:fill="FFFFFF"/>
        <w:spacing w:after="240" w:line="240" w:lineRule="auto"/>
        <w:ind w:left="0" w:firstLine="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This right, commonly referred to as subject access</w:t>
      </w:r>
      <w:r w:rsidR="00CE7EB2" w:rsidRPr="00E938DB">
        <w:rPr>
          <w:rFonts w:asciiTheme="minorHAnsi" w:hAnsiTheme="minorHAnsi" w:cstheme="minorHAnsi"/>
          <w:color w:val="000000"/>
          <w:sz w:val="24"/>
          <w:szCs w:val="24"/>
          <w:lang w:val="en-US" w:eastAsia="en-US"/>
        </w:rPr>
        <w:t xml:space="preserve"> request</w:t>
      </w:r>
      <w:r w:rsidRPr="00E938DB">
        <w:rPr>
          <w:rFonts w:asciiTheme="minorHAnsi" w:hAnsiTheme="minorHAnsi" w:cstheme="minorHAnsi"/>
          <w:color w:val="000000"/>
          <w:sz w:val="24"/>
          <w:szCs w:val="24"/>
          <w:lang w:val="en-US" w:eastAsia="en-US"/>
        </w:rPr>
        <w:t xml:space="preserve">, is created by </w:t>
      </w:r>
      <w:hyperlink r:id="rId9" w:history="1">
        <w:r w:rsidRPr="00EB0E60">
          <w:rPr>
            <w:rStyle w:val="Hyperlink"/>
            <w:rFonts w:asciiTheme="minorHAnsi" w:hAnsiTheme="minorHAnsi" w:cstheme="minorHAnsi"/>
            <w:sz w:val="24"/>
            <w:szCs w:val="24"/>
            <w:lang w:val="en-US" w:eastAsia="en-US"/>
          </w:rPr>
          <w:t>section 7 of the Data Protection Act</w:t>
        </w:r>
      </w:hyperlink>
      <w:r w:rsidRPr="00E938DB">
        <w:rPr>
          <w:rFonts w:asciiTheme="minorHAnsi" w:hAnsiTheme="minorHAnsi" w:cstheme="minorHAnsi"/>
          <w:color w:val="000000"/>
          <w:sz w:val="24"/>
          <w:szCs w:val="24"/>
          <w:lang w:val="en-US" w:eastAsia="en-US"/>
        </w:rPr>
        <w:t xml:space="preserve">. </w:t>
      </w:r>
      <w:r w:rsidR="00CE7EB2" w:rsidRPr="00E938DB">
        <w:rPr>
          <w:rFonts w:asciiTheme="minorHAnsi" w:hAnsiTheme="minorHAnsi" w:cstheme="minorHAnsi"/>
          <w:color w:val="000000"/>
          <w:sz w:val="24"/>
          <w:szCs w:val="24"/>
          <w:lang w:val="en-US" w:eastAsia="en-US"/>
        </w:rPr>
        <w:t xml:space="preserve"> </w:t>
      </w:r>
      <w:r w:rsidRPr="00E938DB">
        <w:rPr>
          <w:rFonts w:asciiTheme="minorHAnsi" w:hAnsiTheme="minorHAnsi" w:cstheme="minorHAnsi"/>
          <w:color w:val="000000"/>
          <w:sz w:val="24"/>
          <w:szCs w:val="24"/>
          <w:lang w:val="en-US" w:eastAsia="en-US"/>
        </w:rPr>
        <w:t>It is most often used by individuals who want to see a copy of the information an organisation holds about them. However, the right of access goes further than this, and an individual who makes a written request is entitled to be:</w:t>
      </w:r>
    </w:p>
    <w:p w14:paraId="29B0EA66" w14:textId="2BE378CA" w:rsidR="00B40402" w:rsidRPr="00E938DB" w:rsidRDefault="00B40402" w:rsidP="00CE7EB2">
      <w:pPr>
        <w:numPr>
          <w:ilvl w:val="0"/>
          <w:numId w:val="10"/>
        </w:numPr>
        <w:shd w:val="clear" w:color="auto" w:fill="FFFFFF"/>
        <w:spacing w:before="100" w:beforeAutospacing="1" w:after="100" w:afterAutospacing="1" w:line="240" w:lineRule="auto"/>
        <w:ind w:left="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told whether any personal data is being processed;</w:t>
      </w:r>
    </w:p>
    <w:p w14:paraId="21DE6C99" w14:textId="77777777" w:rsidR="00CE7EB2" w:rsidRPr="00E938DB" w:rsidRDefault="00B40402" w:rsidP="00CE7EB2">
      <w:pPr>
        <w:numPr>
          <w:ilvl w:val="0"/>
          <w:numId w:val="10"/>
        </w:numPr>
        <w:shd w:val="clear" w:color="auto" w:fill="FFFFFF"/>
        <w:spacing w:before="120" w:after="100" w:afterAutospacing="1" w:line="240" w:lineRule="auto"/>
        <w:ind w:left="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given a description of the personal data, the reasons it is being processed, and whether it will be given to any other organisations or people</w:t>
      </w:r>
      <w:r w:rsidR="00CE7EB2" w:rsidRPr="00E938DB">
        <w:rPr>
          <w:rFonts w:asciiTheme="minorHAnsi" w:hAnsiTheme="minorHAnsi" w:cstheme="minorHAnsi"/>
          <w:color w:val="000000"/>
          <w:sz w:val="24"/>
          <w:szCs w:val="24"/>
          <w:lang w:val="en-US" w:eastAsia="en-US"/>
        </w:rPr>
        <w:t>,</w:t>
      </w:r>
    </w:p>
    <w:p w14:paraId="3C2C43DA" w14:textId="3E88D19E" w:rsidR="00CE7EB2" w:rsidRPr="00E938DB" w:rsidRDefault="00B40402" w:rsidP="00CE7EB2">
      <w:pPr>
        <w:numPr>
          <w:ilvl w:val="0"/>
          <w:numId w:val="10"/>
        </w:numPr>
        <w:shd w:val="clear" w:color="auto" w:fill="FFFFFF"/>
        <w:spacing w:before="120" w:after="100" w:afterAutospacing="1" w:line="240" w:lineRule="auto"/>
        <w:ind w:left="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given a copy of the information comprising the data; and given details of the source of the data (where this is available).</w:t>
      </w:r>
    </w:p>
    <w:p w14:paraId="3E2D1DC1" w14:textId="0E155B58" w:rsidR="00DE73D5" w:rsidRPr="00E938DB" w:rsidRDefault="00B40402" w:rsidP="00CE7EB2">
      <w:pPr>
        <w:shd w:val="clear" w:color="auto" w:fill="FFFFFF"/>
        <w:spacing w:before="120" w:after="100" w:afterAutospacing="1" w:line="240" w:lineRule="auto"/>
        <w:ind w:left="0" w:firstLine="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In most cases you must respond to a subject access request promptly and in any event within 40 calendar days of receiving it. However, some types of personal data are exempt from the right of subject access and so cannot be obtained by making a subject access request.</w:t>
      </w:r>
    </w:p>
    <w:p w14:paraId="542FB8BF" w14:textId="509D96B4" w:rsidR="00DE73D5" w:rsidRDefault="00DE73D5" w:rsidP="00DE73D5">
      <w:pPr>
        <w:pStyle w:val="ScheduleHeading1"/>
        <w:numPr>
          <w:ilvl w:val="0"/>
          <w:numId w:val="7"/>
        </w:numPr>
        <w:rPr>
          <w:rFonts w:asciiTheme="minorHAnsi" w:hAnsiTheme="minorHAnsi" w:cstheme="minorHAnsi"/>
          <w:sz w:val="24"/>
          <w:szCs w:val="24"/>
        </w:rPr>
      </w:pPr>
      <w:r w:rsidRPr="00E938DB">
        <w:rPr>
          <w:rFonts w:asciiTheme="minorHAnsi" w:hAnsiTheme="minorHAnsi" w:cstheme="minorHAnsi"/>
          <w:sz w:val="24"/>
          <w:szCs w:val="24"/>
        </w:rPr>
        <w:t>Upon receipt of a SAR</w:t>
      </w:r>
    </w:p>
    <w:p w14:paraId="48AB4F82" w14:textId="77777777" w:rsidR="00E938DB" w:rsidRPr="00E938DB" w:rsidRDefault="00E938DB" w:rsidP="00E938DB">
      <w:pPr>
        <w:pStyle w:val="ScheduleHeading2"/>
        <w:numPr>
          <w:ilvl w:val="0"/>
          <w:numId w:val="0"/>
        </w:numPr>
        <w:ind w:left="1440"/>
      </w:pPr>
    </w:p>
    <w:p w14:paraId="45CF55B9"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whether you are controller of the data subject’s personal data. If you are not a controller, but merely a processor, inform the data subject and refer them to the actual controller.</w:t>
      </w:r>
    </w:p>
    <w:p w14:paraId="3E1867FC"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the identity of the data subject; if needed, request any further evidence on the identity of the data subject.</w:t>
      </w:r>
    </w:p>
    <w:p w14:paraId="4959F6DA"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Verity the access request; is it sufficiently substantiated? Is it clear to the data controller what personal data is requested? If not: request additional information.</w:t>
      </w:r>
    </w:p>
    <w:p w14:paraId="1B5FEDE7"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whether requests are unfounded or excessive (in particular because of their repetitive character); if so, you may refuse to act on the request or charge a reasonable fee.</w:t>
      </w:r>
    </w:p>
    <w:p w14:paraId="4A366F30"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Promptly acknowledge receipt of the SAR and inform the data subject of any costs involved in the processing of the SAR.</w:t>
      </w:r>
    </w:p>
    <w:p w14:paraId="25546E17"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whether you process the data requested. If you do not process any data, inform the data subject accordingly. At all times make sure the internal SAR policy is followed and progress can be monitored.</w:t>
      </w:r>
    </w:p>
    <w:p w14:paraId="3310202E"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Ensure data will not be changed </w:t>
      </w:r>
      <w:proofErr w:type="gramStart"/>
      <w:r w:rsidRPr="00E938DB">
        <w:rPr>
          <w:rFonts w:asciiTheme="minorHAnsi" w:hAnsiTheme="minorHAnsi" w:cstheme="minorHAnsi"/>
          <w:sz w:val="24"/>
          <w:szCs w:val="24"/>
        </w:rPr>
        <w:t>as a result of</w:t>
      </w:r>
      <w:proofErr w:type="gramEnd"/>
      <w:r w:rsidRPr="00E938DB">
        <w:rPr>
          <w:rFonts w:asciiTheme="minorHAnsi" w:hAnsiTheme="minorHAnsi" w:cstheme="minorHAnsi"/>
          <w:sz w:val="24"/>
          <w:szCs w:val="24"/>
        </w:rPr>
        <w:t xml:space="preserve"> the SAR. Routine changes as part of the processing activities concerned are permitted.</w:t>
      </w:r>
    </w:p>
    <w:p w14:paraId="0CAF448E"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lastRenderedPageBreak/>
        <w:t>Verify whether the data requested also involves data on other data subjects and make sure this data is filtered before the requested data is supplied to the data subject; if data cannot be filtered, ensure that other data subjects have consented to the supply of their data as part of the SAR.</w:t>
      </w:r>
    </w:p>
    <w:p w14:paraId="3AE5A5C5" w14:textId="6F15F914" w:rsidR="00DE73D5" w:rsidRDefault="00DE73D5" w:rsidP="00DE73D5">
      <w:pPr>
        <w:pStyle w:val="ScheduleHeading1"/>
        <w:rPr>
          <w:rFonts w:asciiTheme="minorHAnsi" w:hAnsiTheme="minorHAnsi" w:cstheme="minorHAnsi"/>
          <w:sz w:val="24"/>
          <w:szCs w:val="24"/>
        </w:rPr>
      </w:pPr>
      <w:r w:rsidRPr="00E938DB">
        <w:rPr>
          <w:rFonts w:asciiTheme="minorHAnsi" w:hAnsiTheme="minorHAnsi" w:cstheme="minorHAnsi"/>
          <w:sz w:val="24"/>
          <w:szCs w:val="24"/>
        </w:rPr>
        <w:t>Responding to a SAR</w:t>
      </w:r>
    </w:p>
    <w:p w14:paraId="39015FB7" w14:textId="77777777" w:rsidR="00E938DB" w:rsidRPr="00E938DB" w:rsidRDefault="00E938DB" w:rsidP="00E938DB">
      <w:pPr>
        <w:pStyle w:val="ScheduleHeading2"/>
        <w:numPr>
          <w:ilvl w:val="0"/>
          <w:numId w:val="0"/>
        </w:numPr>
        <w:ind w:left="1440"/>
      </w:pPr>
    </w:p>
    <w:p w14:paraId="17155A86"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 Respond to a SAR within one month after receipt of the request: </w:t>
      </w:r>
    </w:p>
    <w:p w14:paraId="293E85FF"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If more time is needed to respond to complex requests, an extension of another two months is permissible, provided this is communicated to the data subject in a timely manner within the first month;</w:t>
      </w:r>
    </w:p>
    <w:p w14:paraId="5EA74DC5"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if the council cannot provide the information requested, it should inform the data subject on this decision without delay and at the latest within one month of receipt of the request.</w:t>
      </w:r>
    </w:p>
    <w:p w14:paraId="535F5901"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If a SAR is submitted in electronic form, any personal data should preferably be provided by electronic means as well.</w:t>
      </w:r>
    </w:p>
    <w:p w14:paraId="0BE65E6C"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If data on the data subject is processed, make sure to include as a minimum the following information in the SAR response: </w:t>
      </w:r>
    </w:p>
    <w:p w14:paraId="1FC10DA8"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the purposes of the processing;</w:t>
      </w:r>
    </w:p>
    <w:p w14:paraId="4C35B741"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the categories of personal data concerned;</w:t>
      </w:r>
    </w:p>
    <w:p w14:paraId="43C40E8E"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 xml:space="preserve">the recipients or categories of recipients to whom personal data has been or will be disclosed, </w:t>
      </w:r>
      <w:proofErr w:type="gramStart"/>
      <w:r w:rsidRPr="00E938DB">
        <w:rPr>
          <w:rFonts w:asciiTheme="minorHAnsi" w:hAnsiTheme="minorHAnsi" w:cstheme="minorHAnsi"/>
          <w:sz w:val="24"/>
          <w:szCs w:val="24"/>
        </w:rPr>
        <w:t>in particular in</w:t>
      </w:r>
      <w:proofErr w:type="gramEnd"/>
      <w:r w:rsidRPr="00E938DB">
        <w:rPr>
          <w:rFonts w:asciiTheme="minorHAnsi" w:hAnsiTheme="minorHAnsi" w:cstheme="minorHAnsi"/>
          <w:sz w:val="24"/>
          <w:szCs w:val="24"/>
        </w:rPr>
        <w:t xml:space="preserve"> third countries or international organisations, including any appropriate safeguards for transfer of data, such as Binding Corporate Rules</w:t>
      </w:r>
      <w:r w:rsidRPr="00E938DB">
        <w:rPr>
          <w:rStyle w:val="FootnoteReference"/>
          <w:rFonts w:asciiTheme="minorHAnsi" w:hAnsiTheme="minorHAnsi" w:cstheme="minorHAnsi"/>
          <w:sz w:val="24"/>
          <w:szCs w:val="24"/>
        </w:rPr>
        <w:footnoteReference w:id="1"/>
      </w:r>
      <w:r w:rsidRPr="00E938DB">
        <w:rPr>
          <w:rFonts w:asciiTheme="minorHAnsi" w:hAnsiTheme="minorHAnsi" w:cstheme="minorHAnsi"/>
          <w:sz w:val="24"/>
          <w:szCs w:val="24"/>
        </w:rPr>
        <w:t xml:space="preserve"> or EU model clauses</w:t>
      </w:r>
      <w:r w:rsidRPr="00E938DB">
        <w:rPr>
          <w:rStyle w:val="FootnoteReference"/>
          <w:rFonts w:asciiTheme="minorHAnsi" w:hAnsiTheme="minorHAnsi" w:cstheme="minorHAnsi"/>
          <w:sz w:val="24"/>
          <w:szCs w:val="24"/>
        </w:rPr>
        <w:footnoteReference w:id="2"/>
      </w:r>
      <w:r w:rsidRPr="00E938DB">
        <w:rPr>
          <w:rFonts w:asciiTheme="minorHAnsi" w:hAnsiTheme="minorHAnsi" w:cstheme="minorHAnsi"/>
          <w:sz w:val="24"/>
          <w:szCs w:val="24"/>
        </w:rPr>
        <w:t>;</w:t>
      </w:r>
    </w:p>
    <w:p w14:paraId="536F4489"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where possible, the envisaged period for which personal data will be stored, or, if not possible, the criteria used to determine that period;</w:t>
      </w:r>
    </w:p>
    <w:p w14:paraId="6EA52BA3"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the existence of the right to request rectification or erasure of personal data or restriction of processing of personal data concerning the data subject or to object to such processing;</w:t>
      </w:r>
    </w:p>
    <w:p w14:paraId="5187ED52"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 xml:space="preserve">the right to lodge a complaint with the </w:t>
      </w:r>
      <w:r w:rsidRPr="00E938DB">
        <w:rPr>
          <w:rStyle w:val="Bodytext2"/>
          <w:rFonts w:asciiTheme="minorHAnsi" w:hAnsiTheme="minorHAnsi" w:cstheme="minorHAnsi"/>
          <w:sz w:val="24"/>
          <w:szCs w:val="24"/>
        </w:rPr>
        <w:t>Information Commissioners Office (“</w:t>
      </w:r>
      <w:r w:rsidRPr="00E938DB">
        <w:rPr>
          <w:rFonts w:asciiTheme="minorHAnsi" w:hAnsiTheme="minorHAnsi" w:cstheme="minorHAnsi"/>
          <w:sz w:val="24"/>
          <w:szCs w:val="24"/>
        </w:rPr>
        <w:t>ICO”);</w:t>
      </w:r>
    </w:p>
    <w:p w14:paraId="66A84C36"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lastRenderedPageBreak/>
        <w:t>if the data has not been collected from the data subject: the source of such data;</w:t>
      </w:r>
    </w:p>
    <w:p w14:paraId="6180A342"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the existence of any automated decision-making, including profiling and any meaningful information about the logic involved, as well as the significance and the envisaged consequences of such processing for the data subject.</w:t>
      </w:r>
    </w:p>
    <w:p w14:paraId="1F040D8B"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Provide a copy of the personal data undergoing processing. </w:t>
      </w:r>
    </w:p>
    <w:p w14:paraId="5F85BE34" w14:textId="77777777" w:rsidR="00CE7EB2" w:rsidRPr="00E938DB" w:rsidRDefault="00CE7EB2" w:rsidP="00DE73D5">
      <w:pPr>
        <w:pStyle w:val="NoSpacing"/>
        <w:rPr>
          <w:rFonts w:cstheme="minorHAnsi"/>
          <w:b/>
          <w:sz w:val="24"/>
          <w:szCs w:val="24"/>
        </w:rPr>
      </w:pPr>
    </w:p>
    <w:p w14:paraId="34F89F61" w14:textId="4E0CE3A3" w:rsidR="00DE73D5" w:rsidRPr="00E938DB" w:rsidRDefault="00DE73D5" w:rsidP="00DE73D5">
      <w:pPr>
        <w:pStyle w:val="NoSpacing"/>
        <w:rPr>
          <w:rFonts w:cstheme="minorHAnsi"/>
          <w:b/>
          <w:sz w:val="24"/>
          <w:szCs w:val="24"/>
        </w:rPr>
      </w:pPr>
      <w:r w:rsidRPr="00E938DB">
        <w:rPr>
          <w:rFonts w:cstheme="minorHAnsi"/>
          <w:b/>
          <w:sz w:val="24"/>
          <w:szCs w:val="24"/>
        </w:rPr>
        <w:t>What must I do?</w:t>
      </w:r>
    </w:p>
    <w:p w14:paraId="41072DB8" w14:textId="77777777" w:rsidR="00DE73D5" w:rsidRPr="00E938DB" w:rsidRDefault="00DE73D5" w:rsidP="00DE73D5">
      <w:pPr>
        <w:pStyle w:val="NoSpacing"/>
        <w:rPr>
          <w:rFonts w:cstheme="minorHAnsi"/>
          <w:sz w:val="24"/>
          <w:szCs w:val="24"/>
        </w:rPr>
      </w:pPr>
    </w:p>
    <w:p w14:paraId="4B71D1BF" w14:textId="6ED1DF3C"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On receipt of a subject access request you must </w:t>
      </w:r>
      <w:r w:rsidRPr="00E938DB">
        <w:rPr>
          <w:rFonts w:asciiTheme="minorHAnsi" w:hAnsiTheme="minorHAnsi" w:cstheme="minorHAnsi"/>
          <w:b/>
          <w:sz w:val="24"/>
          <w:szCs w:val="24"/>
        </w:rPr>
        <w:t>forward</w:t>
      </w:r>
      <w:r w:rsidRPr="00E938DB">
        <w:rPr>
          <w:rFonts w:asciiTheme="minorHAnsi" w:hAnsiTheme="minorHAnsi" w:cstheme="minorHAnsi"/>
          <w:sz w:val="24"/>
          <w:szCs w:val="24"/>
        </w:rPr>
        <w:t xml:space="preserve"> it immediately to </w:t>
      </w:r>
      <w:r w:rsidR="00CE7EB2" w:rsidRPr="00E938DB">
        <w:rPr>
          <w:rFonts w:asciiTheme="minorHAnsi" w:hAnsiTheme="minorHAnsi" w:cstheme="minorHAnsi"/>
          <w:sz w:val="24"/>
          <w:szCs w:val="24"/>
        </w:rPr>
        <w:t>the Town Clerk</w:t>
      </w:r>
    </w:p>
    <w:p w14:paraId="6888676C"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We must correctly </w:t>
      </w:r>
      <w:r w:rsidRPr="00E938DB">
        <w:rPr>
          <w:rFonts w:asciiTheme="minorHAnsi" w:hAnsiTheme="minorHAnsi" w:cstheme="minorHAnsi"/>
          <w:b/>
          <w:sz w:val="24"/>
          <w:szCs w:val="24"/>
        </w:rPr>
        <w:t>identify</w:t>
      </w:r>
      <w:r w:rsidRPr="00E938DB">
        <w:rPr>
          <w:rFonts w:asciiTheme="minorHAnsi" w:hAnsiTheme="minorHAnsi" w:cstheme="minorHAnsi"/>
          <w:sz w:val="24"/>
          <w:szCs w:val="24"/>
        </w:rPr>
        <w:t xml:space="preserve"> whether a request has been made under the Data Protection legislation </w:t>
      </w:r>
    </w:p>
    <w:p w14:paraId="53F48EAC"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A member of staff, and as appropriate, councillor, who receives a request to locate and supply personal data relating to a SAR must make a full exhaustive </w:t>
      </w:r>
      <w:r w:rsidRPr="00E938DB">
        <w:rPr>
          <w:rFonts w:asciiTheme="minorHAnsi" w:hAnsiTheme="minorHAnsi" w:cstheme="minorHAnsi"/>
          <w:b/>
          <w:sz w:val="24"/>
          <w:szCs w:val="24"/>
        </w:rPr>
        <w:t>search</w:t>
      </w:r>
      <w:r w:rsidRPr="00E938DB">
        <w:rPr>
          <w:rFonts w:asciiTheme="minorHAnsi" w:hAnsiTheme="minorHAnsi" w:cstheme="minorHAnsi"/>
          <w:sz w:val="24"/>
          <w:szCs w:val="24"/>
        </w:rPr>
        <w:t xml:space="preserve"> of the records to which they have access. </w:t>
      </w:r>
    </w:p>
    <w:p w14:paraId="681240A9"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All the personal data that has been requested must be </w:t>
      </w:r>
      <w:r w:rsidRPr="00E938DB">
        <w:rPr>
          <w:rFonts w:asciiTheme="minorHAnsi" w:hAnsiTheme="minorHAnsi" w:cstheme="minorHAnsi"/>
          <w:b/>
          <w:sz w:val="24"/>
          <w:szCs w:val="24"/>
        </w:rPr>
        <w:t>provided</w:t>
      </w:r>
      <w:r w:rsidRPr="00E938DB">
        <w:rPr>
          <w:rFonts w:asciiTheme="minorHAnsi" w:hAnsiTheme="minorHAnsi" w:cstheme="minorHAnsi"/>
          <w:sz w:val="24"/>
          <w:szCs w:val="24"/>
        </w:rPr>
        <w:t xml:space="preserve"> unless an exemption can be applied.  </w:t>
      </w:r>
    </w:p>
    <w:p w14:paraId="1F478DFB"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We must </w:t>
      </w:r>
      <w:r w:rsidRPr="00E938DB">
        <w:rPr>
          <w:rFonts w:asciiTheme="minorHAnsi" w:hAnsiTheme="minorHAnsi" w:cstheme="minorHAnsi"/>
          <w:b/>
          <w:sz w:val="24"/>
          <w:szCs w:val="24"/>
        </w:rPr>
        <w:t>respond</w:t>
      </w:r>
      <w:r w:rsidRPr="00E938DB">
        <w:rPr>
          <w:rFonts w:asciiTheme="minorHAnsi" w:hAnsiTheme="minorHAnsi" w:cstheme="minorHAnsi"/>
          <w:sz w:val="24"/>
          <w:szCs w:val="24"/>
        </w:rPr>
        <w:t xml:space="preserve"> within one calendar month after accepting the request as valid. </w:t>
      </w:r>
    </w:p>
    <w:p w14:paraId="72ABFD06" w14:textId="77777777" w:rsidR="00CE7EB2" w:rsidRPr="00E938DB" w:rsidRDefault="00DE73D5" w:rsidP="006711FD">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Subject Access Requests must be undertaken </w:t>
      </w:r>
      <w:r w:rsidRPr="00E938DB">
        <w:rPr>
          <w:rFonts w:asciiTheme="minorHAnsi" w:hAnsiTheme="minorHAnsi" w:cstheme="minorHAnsi"/>
          <w:b/>
          <w:sz w:val="24"/>
          <w:szCs w:val="24"/>
        </w:rPr>
        <w:t>free of charge</w:t>
      </w:r>
      <w:r w:rsidRPr="00E938DB">
        <w:rPr>
          <w:rFonts w:asciiTheme="minorHAnsi" w:hAnsiTheme="minorHAnsi" w:cstheme="minorHAnsi"/>
          <w:sz w:val="24"/>
          <w:szCs w:val="24"/>
        </w:rPr>
        <w:t xml:space="preserve"> to the requestor unless the legislation permits reasonable fees to be charged.</w:t>
      </w:r>
    </w:p>
    <w:p w14:paraId="0A855F35" w14:textId="6FB0F4CB" w:rsidR="00DE73D5" w:rsidRPr="00E938DB" w:rsidRDefault="00DE73D5" w:rsidP="006711FD">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Councillors and managers must ensure that the staff they manage are </w:t>
      </w:r>
      <w:r w:rsidRPr="00E938DB">
        <w:rPr>
          <w:rFonts w:asciiTheme="minorHAnsi" w:hAnsiTheme="minorHAnsi" w:cstheme="minorHAnsi"/>
          <w:b/>
          <w:sz w:val="24"/>
          <w:szCs w:val="24"/>
        </w:rPr>
        <w:t>aware</w:t>
      </w:r>
      <w:r w:rsidRPr="00E938DB">
        <w:rPr>
          <w:rFonts w:asciiTheme="minorHAnsi" w:hAnsiTheme="minorHAnsi" w:cstheme="minorHAnsi"/>
          <w:sz w:val="24"/>
          <w:szCs w:val="24"/>
        </w:rPr>
        <w:t xml:space="preserve"> of and follow this guidance.  </w:t>
      </w:r>
    </w:p>
    <w:p w14:paraId="39A22662" w14:textId="77777777" w:rsidR="00DE73D5" w:rsidRPr="00E938DB" w:rsidRDefault="00DE73D5" w:rsidP="00DE73D5">
      <w:pPr>
        <w:pStyle w:val="ListParagraph"/>
        <w:numPr>
          <w:ilvl w:val="0"/>
          <w:numId w:val="4"/>
        </w:numPr>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Where a requestor is not satisfied with a response to a SAR, the council must manage this as a </w:t>
      </w:r>
      <w:r w:rsidRPr="00E938DB">
        <w:rPr>
          <w:rFonts w:asciiTheme="minorHAnsi" w:hAnsiTheme="minorHAnsi" w:cstheme="minorHAnsi"/>
          <w:b/>
          <w:sz w:val="24"/>
          <w:szCs w:val="24"/>
        </w:rPr>
        <w:t>complaint</w:t>
      </w:r>
      <w:r w:rsidRPr="00E938DB">
        <w:rPr>
          <w:rFonts w:asciiTheme="minorHAnsi" w:hAnsiTheme="minorHAnsi" w:cstheme="minorHAnsi"/>
          <w:sz w:val="24"/>
          <w:szCs w:val="24"/>
        </w:rPr>
        <w:t xml:space="preserve">. </w:t>
      </w:r>
    </w:p>
    <w:p w14:paraId="1CA744F0" w14:textId="77777777" w:rsidR="00DE73D5" w:rsidRPr="00E938DB" w:rsidRDefault="00DE73D5" w:rsidP="00DE73D5">
      <w:pPr>
        <w:pStyle w:val="NoSpacing"/>
        <w:rPr>
          <w:rFonts w:cstheme="minorHAnsi"/>
          <w:b/>
          <w:sz w:val="24"/>
          <w:szCs w:val="24"/>
        </w:rPr>
      </w:pPr>
      <w:r w:rsidRPr="00E938DB">
        <w:rPr>
          <w:rFonts w:cstheme="minorHAnsi"/>
          <w:b/>
          <w:sz w:val="24"/>
          <w:szCs w:val="24"/>
        </w:rPr>
        <w:t>How must I do it?</w:t>
      </w:r>
    </w:p>
    <w:p w14:paraId="580C5BAA" w14:textId="77777777" w:rsidR="00DE73D5" w:rsidRPr="00E938DB" w:rsidRDefault="00DE73D5" w:rsidP="00DE73D5">
      <w:pPr>
        <w:pStyle w:val="NoSpacing"/>
        <w:rPr>
          <w:rFonts w:cstheme="minorHAnsi"/>
          <w:sz w:val="24"/>
          <w:szCs w:val="24"/>
        </w:rPr>
      </w:pPr>
    </w:p>
    <w:p w14:paraId="6D25769A" w14:textId="606830C0" w:rsidR="00DE73D5" w:rsidRPr="00E938DB" w:rsidRDefault="00DE73D5" w:rsidP="00DE73D5">
      <w:pPr>
        <w:pStyle w:val="NoSpacing"/>
        <w:numPr>
          <w:ilvl w:val="0"/>
          <w:numId w:val="5"/>
        </w:numPr>
        <w:spacing w:after="120"/>
        <w:ind w:hanging="720"/>
        <w:rPr>
          <w:rFonts w:cstheme="minorHAnsi"/>
          <w:sz w:val="24"/>
          <w:szCs w:val="24"/>
        </w:rPr>
      </w:pPr>
      <w:r w:rsidRPr="00E938DB">
        <w:rPr>
          <w:rFonts w:cstheme="minorHAnsi"/>
          <w:sz w:val="24"/>
          <w:szCs w:val="24"/>
        </w:rPr>
        <w:t xml:space="preserve">Notify </w:t>
      </w:r>
      <w:r w:rsidR="00CE7EB2" w:rsidRPr="00E938DB">
        <w:rPr>
          <w:rFonts w:cstheme="minorHAnsi"/>
          <w:sz w:val="24"/>
          <w:szCs w:val="24"/>
        </w:rPr>
        <w:t>the Town Clerk u</w:t>
      </w:r>
      <w:r w:rsidRPr="00E938DB">
        <w:rPr>
          <w:rFonts w:cstheme="minorHAnsi"/>
          <w:sz w:val="24"/>
          <w:szCs w:val="24"/>
        </w:rPr>
        <w:t>pon receipt of a request.</w:t>
      </w:r>
    </w:p>
    <w:p w14:paraId="5143D6B9" w14:textId="18232818" w:rsidR="00DE73D5" w:rsidRPr="00E938DB" w:rsidRDefault="00DE73D5" w:rsidP="00DE73D5">
      <w:pPr>
        <w:pStyle w:val="NoSpacing"/>
        <w:numPr>
          <w:ilvl w:val="0"/>
          <w:numId w:val="5"/>
        </w:numPr>
        <w:ind w:hanging="720"/>
        <w:rPr>
          <w:rFonts w:cstheme="minorHAnsi"/>
          <w:sz w:val="24"/>
          <w:szCs w:val="24"/>
        </w:rPr>
      </w:pPr>
      <w:r w:rsidRPr="00E938DB">
        <w:rPr>
          <w:rFonts w:cstheme="minorHAnsi"/>
          <w:sz w:val="24"/>
          <w:szCs w:val="24"/>
        </w:rPr>
        <w:t xml:space="preserve">We must ensure a request has been received in writing where a data subject is asking for sufficiently well-defined personal data held by the council relating to the data subject. You should clarify with the requestor what personal data they need. They must supply their address and valid evidence to prove their identity. The council accepts the following forms of identification (* These documents must be dated in the past 12 months, +These documents must be dated in the past 3 months): </w:t>
      </w:r>
    </w:p>
    <w:p w14:paraId="32915CE3"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Current UK/EEA Passport</w:t>
      </w:r>
    </w:p>
    <w:p w14:paraId="0DA5369A"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UK Photocard Driving Licence (Full or Provisional)</w:t>
      </w:r>
    </w:p>
    <w:p w14:paraId="162C6606"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Firearms Licence / Shotgun Certificate</w:t>
      </w:r>
    </w:p>
    <w:p w14:paraId="4052B0DF"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lastRenderedPageBreak/>
        <w:t>EEA National Identity Card</w:t>
      </w:r>
    </w:p>
    <w:p w14:paraId="3F5839CC"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Full UK Paper Driving Licence</w:t>
      </w:r>
    </w:p>
    <w:p w14:paraId="36AE1855"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State Benefits Entitlement Document*</w:t>
      </w:r>
    </w:p>
    <w:p w14:paraId="4FE84AD2"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State Pension Entitlement Document*</w:t>
      </w:r>
    </w:p>
    <w:p w14:paraId="1D8B413E"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HMRC Tax Credit Document*</w:t>
      </w:r>
    </w:p>
    <w:p w14:paraId="0252B108"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Local Authority Benefit Document*</w:t>
      </w:r>
    </w:p>
    <w:p w14:paraId="395E3AA7"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State/Local Authority Educational Grant Document*</w:t>
      </w:r>
    </w:p>
    <w:p w14:paraId="6EFCDBBB"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HMRC Tax Notification Document</w:t>
      </w:r>
    </w:p>
    <w:p w14:paraId="75867537"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Disabled Driver’s Pass</w:t>
      </w:r>
    </w:p>
    <w:p w14:paraId="424BA88E"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Financial Statement issued by bank, building society or credit card company+</w:t>
      </w:r>
    </w:p>
    <w:p w14:paraId="6B8E26E0"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Judiciary Document such as a Notice of Hearing, Summons or Court Order</w:t>
      </w:r>
    </w:p>
    <w:p w14:paraId="477650AB"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Utility bill for supply of gas, electric, water or telephone landline+</w:t>
      </w:r>
    </w:p>
    <w:p w14:paraId="21017C2D"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Most recent Mortgage Statement</w:t>
      </w:r>
    </w:p>
    <w:p w14:paraId="51058BD6"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Most recent council Tax Bill/Demand or Statement</w:t>
      </w:r>
    </w:p>
    <w:p w14:paraId="5CD26124"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Tenancy Agreement</w:t>
      </w:r>
    </w:p>
    <w:p w14:paraId="0DE57819" w14:textId="17C5DB3E"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Building Society Passbook which shows a transaction in the last 3 months and your address</w:t>
      </w:r>
    </w:p>
    <w:p w14:paraId="1C7887AF" w14:textId="77777777" w:rsidR="00CE7EB2" w:rsidRPr="00E938DB" w:rsidRDefault="00CE7EB2" w:rsidP="00CE7EB2">
      <w:pPr>
        <w:pStyle w:val="Level1Bullet"/>
        <w:numPr>
          <w:ilvl w:val="0"/>
          <w:numId w:val="0"/>
        </w:numPr>
        <w:spacing w:before="0" w:after="0"/>
        <w:ind w:left="1440"/>
        <w:rPr>
          <w:rFonts w:asciiTheme="minorHAnsi" w:hAnsiTheme="minorHAnsi" w:cstheme="minorHAnsi"/>
          <w:sz w:val="24"/>
          <w:szCs w:val="24"/>
        </w:rPr>
      </w:pPr>
    </w:p>
    <w:p w14:paraId="373D1EA4"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Depending on the degree to which personal data is organised and structured, you will need to search emails (including archived emails and those that have been deleted but are still recoverable), Word documents, spreadsheets, databases, systems, removable media (for example, memory sticks, floppy disks, CDs), tape recordings, paper records in relevant filing systems etc. which your area is responsible for or owns.</w:t>
      </w:r>
    </w:p>
    <w:p w14:paraId="3ECD3EF6"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 xml:space="preserve">You must not withhold personal data because you believe it will be misunderstood; instead, you should provide an explanation with the personal data. You must provide the personal data in an “intelligible form”, which includes </w:t>
      </w:r>
      <w:proofErr w:type="gramStart"/>
      <w:r w:rsidRPr="00E938DB">
        <w:rPr>
          <w:rFonts w:cstheme="minorHAnsi"/>
          <w:sz w:val="24"/>
          <w:szCs w:val="24"/>
        </w:rPr>
        <w:t>giving an explanation of</w:t>
      </w:r>
      <w:proofErr w:type="gramEnd"/>
      <w:r w:rsidRPr="00E938DB">
        <w:rPr>
          <w:rFonts w:cstheme="minorHAnsi"/>
          <w:sz w:val="24"/>
          <w:szCs w:val="24"/>
        </w:rPr>
        <w:t xml:space="preserve"> any codes, acronyms and complex terms. The personal data must be supplied in a permanent form except where the person agrees or where it is impossible or would involve undue effort. You may be able to agree with the requester that they will view the personal data on screen or inspect files on our premises. You must redact any exempt personal data from the released documents and explain why that personal data is being withheld.</w:t>
      </w:r>
    </w:p>
    <w:p w14:paraId="62F544D9"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Make this clear on forms and on the council website</w:t>
      </w:r>
    </w:p>
    <w:p w14:paraId="765F1EBB" w14:textId="0A103DDF"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 xml:space="preserve">You should do this </w:t>
      </w:r>
      <w:proofErr w:type="gramStart"/>
      <w:r w:rsidRPr="00E938DB">
        <w:rPr>
          <w:rFonts w:cstheme="minorHAnsi"/>
          <w:sz w:val="24"/>
          <w:szCs w:val="24"/>
        </w:rPr>
        <w:t>through the use of</w:t>
      </w:r>
      <w:proofErr w:type="gramEnd"/>
      <w:r w:rsidRPr="00E938DB">
        <w:rPr>
          <w:rFonts w:cstheme="minorHAnsi"/>
          <w:sz w:val="24"/>
          <w:szCs w:val="24"/>
        </w:rPr>
        <w:t xml:space="preserve"> induction and training, as well as day to day working practices.</w:t>
      </w:r>
    </w:p>
    <w:p w14:paraId="3A2AED56"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lastRenderedPageBreak/>
        <w:t>A database is maintained allowing the council to report on the volume of requests and compliance against the statutory timescale.</w:t>
      </w:r>
    </w:p>
    <w:p w14:paraId="1BDFCA65"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 xml:space="preserve">When responding to a complaint, we must advise the requestor that they may complain to the </w:t>
      </w:r>
      <w:r w:rsidRPr="00E938DB">
        <w:rPr>
          <w:rStyle w:val="Bodytext2"/>
          <w:rFonts w:asciiTheme="minorHAnsi" w:hAnsiTheme="minorHAnsi" w:cstheme="minorHAnsi"/>
          <w:sz w:val="24"/>
          <w:szCs w:val="24"/>
        </w:rPr>
        <w:t>Information Commissioners Office (“</w:t>
      </w:r>
      <w:r w:rsidRPr="00E938DB">
        <w:rPr>
          <w:rFonts w:cstheme="minorHAnsi"/>
          <w:sz w:val="24"/>
          <w:szCs w:val="24"/>
        </w:rPr>
        <w:t>ICO”) if they remain unhappy with the outcome.</w:t>
      </w:r>
    </w:p>
    <w:p w14:paraId="5A7F901E" w14:textId="6D73A443" w:rsidR="000E6C29" w:rsidRPr="000E6C29" w:rsidRDefault="000E6C29" w:rsidP="007A722D">
      <w:pPr>
        <w:tabs>
          <w:tab w:val="left" w:pos="5369"/>
        </w:tabs>
        <w:ind w:left="0" w:firstLine="0"/>
        <w:rPr>
          <w:rFonts w:asciiTheme="minorHAnsi" w:hAnsiTheme="minorHAnsi" w:cstheme="minorHAnsi"/>
          <w:sz w:val="24"/>
          <w:szCs w:val="24"/>
        </w:rPr>
      </w:pPr>
    </w:p>
    <w:sectPr w:rsidR="000E6C29" w:rsidRPr="000E6C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22A7" w14:textId="77777777" w:rsidR="002D3AAC" w:rsidRDefault="002D3AAC" w:rsidP="00DE73D5">
      <w:pPr>
        <w:spacing w:after="0" w:line="240" w:lineRule="auto"/>
      </w:pPr>
      <w:r>
        <w:separator/>
      </w:r>
    </w:p>
  </w:endnote>
  <w:endnote w:type="continuationSeparator" w:id="0">
    <w:p w14:paraId="4ED0ACAA" w14:textId="77777777" w:rsidR="002D3AAC" w:rsidRDefault="002D3AAC" w:rsidP="00DE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7870" w14:textId="77777777" w:rsidR="00251BDA" w:rsidRDefault="0025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0000"/>
      </w:rPr>
      <w:id w:val="-369454108"/>
      <w:docPartObj>
        <w:docPartGallery w:val="Page Numbers (Bottom of Page)"/>
        <w:docPartUnique/>
      </w:docPartObj>
    </w:sdtPr>
    <w:sdtEndPr>
      <w:rPr>
        <w:noProof/>
        <w:color w:val="auto"/>
      </w:rPr>
    </w:sdtEndPr>
    <w:sdtContent>
      <w:p w14:paraId="1497E87D" w14:textId="437CC789" w:rsidR="00B04C32" w:rsidRPr="007A722D" w:rsidRDefault="00B04C32">
        <w:pPr>
          <w:pStyle w:val="Footer"/>
          <w:jc w:val="center"/>
        </w:pPr>
        <w:r w:rsidRPr="007A722D">
          <w:fldChar w:fldCharType="begin"/>
        </w:r>
        <w:r w:rsidRPr="007A722D">
          <w:instrText xml:space="preserve"> PAGE   \* MERGEFORMAT </w:instrText>
        </w:r>
        <w:r w:rsidRPr="007A722D">
          <w:fldChar w:fldCharType="separate"/>
        </w:r>
        <w:r w:rsidRPr="007A722D">
          <w:rPr>
            <w:noProof/>
          </w:rPr>
          <w:t>2</w:t>
        </w:r>
        <w:r w:rsidRPr="007A722D">
          <w:rPr>
            <w:noProof/>
          </w:rPr>
          <w:fldChar w:fldCharType="end"/>
        </w:r>
      </w:p>
    </w:sdtContent>
  </w:sdt>
  <w:p w14:paraId="1C93C19E" w14:textId="77777777" w:rsidR="0056455F" w:rsidRDefault="00564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280F" w14:textId="77777777" w:rsidR="00251BDA" w:rsidRDefault="0025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E267" w14:textId="77777777" w:rsidR="002D3AAC" w:rsidRDefault="002D3AAC" w:rsidP="00DE73D5">
      <w:pPr>
        <w:spacing w:after="0" w:line="240" w:lineRule="auto"/>
      </w:pPr>
      <w:r>
        <w:separator/>
      </w:r>
    </w:p>
  </w:footnote>
  <w:footnote w:type="continuationSeparator" w:id="0">
    <w:p w14:paraId="64A2CFC4" w14:textId="77777777" w:rsidR="002D3AAC" w:rsidRDefault="002D3AAC" w:rsidP="00DE73D5">
      <w:pPr>
        <w:spacing w:after="0" w:line="240" w:lineRule="auto"/>
      </w:pPr>
      <w:r>
        <w:continuationSeparator/>
      </w:r>
    </w:p>
  </w:footnote>
  <w:footnote w:id="1">
    <w:p w14:paraId="73644979" w14:textId="77777777" w:rsidR="00DE73D5" w:rsidRDefault="00DE73D5" w:rsidP="00DE73D5">
      <w:pPr>
        <w:pStyle w:val="FootnoteText"/>
        <w:spacing w:line="240" w:lineRule="auto"/>
        <w:ind w:left="0" w:firstLine="0"/>
      </w:pPr>
      <w:r>
        <w:rPr>
          <w:rStyle w:val="FootnoteReference"/>
        </w:rPr>
        <w:footnoteRef/>
      </w:r>
      <w:r>
        <w:t xml:space="preserve"> “</w:t>
      </w:r>
      <w:r w:rsidRPr="00375133">
        <w:rPr>
          <w:sz w:val="16"/>
        </w:rPr>
        <w:t>Binding Corporate Rules</w:t>
      </w:r>
      <w:r>
        <w:rPr>
          <w:sz w:val="16"/>
        </w:rPr>
        <w:t>”</w:t>
      </w:r>
      <w:r w:rsidRPr="00375133">
        <w:rPr>
          <w:sz w:val="16"/>
        </w:rPr>
        <w:t xml:space="preserve"> is a global data protection policy covering the international transfer pf personal data out of the European Union.  It requires approval of a data protection regulator in the European Union.  In most cases this will be the relevant regulator where an organisations head quarters is located.  In the UK, the relevant regulator is the Information Commissioner’s Office.</w:t>
      </w:r>
    </w:p>
  </w:footnote>
  <w:footnote w:id="2">
    <w:p w14:paraId="69639D6B" w14:textId="77777777" w:rsidR="00DE73D5" w:rsidRDefault="00DE73D5" w:rsidP="00DE73D5">
      <w:pPr>
        <w:pStyle w:val="FootnoteText"/>
        <w:spacing w:line="240" w:lineRule="auto"/>
        <w:ind w:left="0" w:firstLine="0"/>
      </w:pPr>
      <w:r>
        <w:rPr>
          <w:rStyle w:val="FootnoteReference"/>
        </w:rPr>
        <w:footnoteRef/>
      </w:r>
      <w:r>
        <w:t xml:space="preserve"> </w:t>
      </w:r>
      <w:r w:rsidRPr="00375133">
        <w:rPr>
          <w:sz w:val="16"/>
        </w:rPr>
        <w:t>“EU model clauses” are clauses approved by the European Union which govern the international transfer of personal data.  The clauses can be between two data controllers or a data controller and a data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04E9" w14:textId="77777777" w:rsidR="00251BDA" w:rsidRDefault="0025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86D2" w14:textId="09BF9C81" w:rsidR="003E0CE0" w:rsidRDefault="00434839" w:rsidP="00434839">
    <w:pPr>
      <w:pStyle w:val="Header"/>
      <w:jc w:val="right"/>
    </w:pPr>
    <w:r>
      <w:t>Reviewed and approved – Full Council 09.05.22</w:t>
    </w:r>
  </w:p>
  <w:p w14:paraId="21598CD8" w14:textId="6C09A6DF" w:rsidR="00814221" w:rsidRDefault="00814221" w:rsidP="00434839">
    <w:pPr>
      <w:pStyle w:val="Header"/>
      <w:jc w:val="right"/>
    </w:pPr>
    <w:r>
      <w:t>Reviewed by Finances, Resources &amp; General Purposes Committee – 24.04.23</w:t>
    </w:r>
  </w:p>
  <w:p w14:paraId="0B3D62EE" w14:textId="64557FC0" w:rsidR="0056455F" w:rsidRPr="00260FFC" w:rsidRDefault="0056455F" w:rsidP="00434839">
    <w:pPr>
      <w:pStyle w:val="Header"/>
      <w:jc w:val="right"/>
    </w:pPr>
    <w:r w:rsidRPr="007A722D">
      <w:t>Readopted – Full Council 10.05.23</w:t>
    </w:r>
  </w:p>
  <w:p w14:paraId="34457618" w14:textId="130B9E6D" w:rsidR="000E6C29" w:rsidRPr="007A722D" w:rsidRDefault="000E6C29" w:rsidP="00434839">
    <w:pPr>
      <w:pStyle w:val="Header"/>
      <w:jc w:val="right"/>
    </w:pPr>
    <w:r w:rsidRPr="007A722D">
      <w:t>Reviewed by Finance, Resources &amp; General Purposes Committee – 22.04.24</w:t>
    </w:r>
  </w:p>
  <w:p w14:paraId="5403BD33" w14:textId="45E68284" w:rsidR="007A722D" w:rsidRPr="007A722D" w:rsidRDefault="007A722D" w:rsidP="00434839">
    <w:pPr>
      <w:pStyle w:val="Header"/>
      <w:jc w:val="right"/>
    </w:pPr>
    <w:r w:rsidRPr="007A722D">
      <w:t>Readopted – Full Council 08.05.24</w:t>
    </w:r>
  </w:p>
  <w:p w14:paraId="7FF452E5" w14:textId="08771CB7" w:rsidR="0056455F" w:rsidRDefault="00AE785D" w:rsidP="00434839">
    <w:pPr>
      <w:pStyle w:val="Header"/>
      <w:jc w:val="right"/>
    </w:pPr>
    <w:r>
      <w:t>Review by Finance, Resources &amp; General Purposes Committee – 14.04.25</w:t>
    </w:r>
  </w:p>
  <w:p w14:paraId="5A84A9D7" w14:textId="15DDCE25" w:rsidR="00251BDA" w:rsidRDefault="00251BDA" w:rsidP="00434839">
    <w:pPr>
      <w:pStyle w:val="Header"/>
      <w:jc w:val="right"/>
    </w:pPr>
    <w:r>
      <w:t xml:space="preserve">Readopted – Full Council </w:t>
    </w:r>
    <w:r>
      <w:t>07.05.25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E5F" w14:textId="77777777" w:rsidR="00251BDA" w:rsidRDefault="0025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4"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104ED2"/>
    <w:multiLevelType w:val="multilevel"/>
    <w:tmpl w:val="49C4599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6"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7"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0468167">
    <w:abstractNumId w:val="7"/>
  </w:num>
  <w:num w:numId="2" w16cid:durableId="1712225916">
    <w:abstractNumId w:val="3"/>
  </w:num>
  <w:num w:numId="3" w16cid:durableId="57942182">
    <w:abstractNumId w:val="6"/>
  </w:num>
  <w:num w:numId="4" w16cid:durableId="1023899262">
    <w:abstractNumId w:val="0"/>
  </w:num>
  <w:num w:numId="5" w16cid:durableId="28651324">
    <w:abstractNumId w:val="2"/>
  </w:num>
  <w:num w:numId="6" w16cid:durableId="1588541213">
    <w:abstractNumId w:val="4"/>
  </w:num>
  <w:num w:numId="7" w16cid:durableId="1830049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361667">
    <w:abstractNumId w:val="1"/>
  </w:num>
  <w:num w:numId="9" w16cid:durableId="2015111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26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D5"/>
    <w:rsid w:val="000E6C29"/>
    <w:rsid w:val="00110A89"/>
    <w:rsid w:val="00180C08"/>
    <w:rsid w:val="001D60F2"/>
    <w:rsid w:val="00251BDA"/>
    <w:rsid w:val="002D3AAC"/>
    <w:rsid w:val="0032176C"/>
    <w:rsid w:val="003E0CE0"/>
    <w:rsid w:val="00434839"/>
    <w:rsid w:val="004C2AF3"/>
    <w:rsid w:val="00551C76"/>
    <w:rsid w:val="0056455F"/>
    <w:rsid w:val="00597D36"/>
    <w:rsid w:val="00625669"/>
    <w:rsid w:val="00640B0F"/>
    <w:rsid w:val="007A722D"/>
    <w:rsid w:val="007D3694"/>
    <w:rsid w:val="00814221"/>
    <w:rsid w:val="00872CFC"/>
    <w:rsid w:val="00915C1A"/>
    <w:rsid w:val="0099175B"/>
    <w:rsid w:val="00AE785D"/>
    <w:rsid w:val="00B04C32"/>
    <w:rsid w:val="00B07BA4"/>
    <w:rsid w:val="00B40402"/>
    <w:rsid w:val="00B8124F"/>
    <w:rsid w:val="00CC1125"/>
    <w:rsid w:val="00CE7EB2"/>
    <w:rsid w:val="00DE73D5"/>
    <w:rsid w:val="00E705C4"/>
    <w:rsid w:val="00E938DB"/>
    <w:rsid w:val="00EB0E60"/>
    <w:rsid w:val="00F211AA"/>
    <w:rsid w:val="00F3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7AEB"/>
  <w15:chartTrackingRefBased/>
  <w15:docId w15:val="{58561203-CDA3-455E-AB21-E669F549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3D5"/>
    <w:pPr>
      <w:spacing w:after="120" w:line="276" w:lineRule="auto"/>
      <w:ind w:left="720" w:hanging="720"/>
    </w:pPr>
    <w:rPr>
      <w:rFonts w:ascii="Century Gothic" w:eastAsia="Times New Roman" w:hAnsi="Century Gothic" w:cs="Times New Roman"/>
      <w:sz w:val="20"/>
      <w:lang w:val="en-GB" w:eastAsia="en-GB"/>
    </w:rPr>
  </w:style>
  <w:style w:type="paragraph" w:styleId="Heading1">
    <w:name w:val="heading 1"/>
    <w:basedOn w:val="Normal"/>
    <w:next w:val="Heading2"/>
    <w:link w:val="Heading1Char"/>
    <w:qFormat/>
    <w:rsid w:val="00DE73D5"/>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DE73D5"/>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DE73D5"/>
    <w:pPr>
      <w:numPr>
        <w:ilvl w:val="2"/>
        <w:numId w:val="3"/>
      </w:numPr>
      <w:spacing w:after="120"/>
      <w:outlineLvl w:val="2"/>
    </w:pPr>
    <w:rPr>
      <w:rFonts w:eastAsia="Arial Unicode MS"/>
    </w:rPr>
  </w:style>
  <w:style w:type="paragraph" w:styleId="Heading4">
    <w:name w:val="heading 4"/>
    <w:basedOn w:val="Heading3"/>
    <w:link w:val="Heading4Char"/>
    <w:qFormat/>
    <w:rsid w:val="00DE73D5"/>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E73D5"/>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E73D5"/>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E73D5"/>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E73D5"/>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DE73D5"/>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3D5"/>
    <w:rPr>
      <w:rFonts w:ascii="Century Gothic" w:eastAsia="Times New Roman" w:hAnsi="Century Gothic" w:cs="Georgia"/>
      <w:b/>
      <w:sz w:val="20"/>
      <w:lang w:val="en-GB" w:eastAsia="en-GB"/>
    </w:rPr>
  </w:style>
  <w:style w:type="character" w:customStyle="1" w:styleId="Heading2Char">
    <w:name w:val="Heading 2 Char"/>
    <w:basedOn w:val="DefaultParagraphFont"/>
    <w:link w:val="Heading2"/>
    <w:rsid w:val="00DE73D5"/>
    <w:rPr>
      <w:rFonts w:ascii="Century Gothic" w:eastAsia="Times New Roman" w:hAnsi="Century Gothic" w:cs="Times New Roman"/>
      <w:bCs/>
      <w:sz w:val="20"/>
      <w:szCs w:val="20"/>
      <w:lang w:val="en-GB" w:eastAsia="en-GB"/>
    </w:rPr>
  </w:style>
  <w:style w:type="character" w:customStyle="1" w:styleId="Heading3Char">
    <w:name w:val="Heading 3 Char"/>
    <w:basedOn w:val="DefaultParagraphFont"/>
    <w:link w:val="Heading3"/>
    <w:uiPriority w:val="1"/>
    <w:rsid w:val="00DE73D5"/>
    <w:rPr>
      <w:rFonts w:ascii="Century Gothic" w:eastAsia="Arial Unicode MS" w:hAnsi="Century Gothic" w:cs="Times New Roman"/>
      <w:sz w:val="20"/>
      <w:lang w:val="en-GB" w:eastAsia="en-GB"/>
    </w:rPr>
  </w:style>
  <w:style w:type="character" w:customStyle="1" w:styleId="Heading4Char">
    <w:name w:val="Heading 4 Char"/>
    <w:basedOn w:val="DefaultParagraphFont"/>
    <w:link w:val="Heading4"/>
    <w:rsid w:val="00DE73D5"/>
    <w:rPr>
      <w:rFonts w:ascii="Century Gothic" w:eastAsia="Arial Unicode MS" w:hAnsi="Century Gothic" w:cs="Times New Roman"/>
      <w:sz w:val="20"/>
      <w:szCs w:val="20"/>
      <w:lang w:val="en-GB" w:eastAsia="en-GB"/>
    </w:rPr>
  </w:style>
  <w:style w:type="character" w:customStyle="1" w:styleId="Heading5Char">
    <w:name w:val="Heading 5 Char"/>
    <w:basedOn w:val="DefaultParagraphFont"/>
    <w:link w:val="Heading5"/>
    <w:rsid w:val="00DE73D5"/>
    <w:rPr>
      <w:rFonts w:ascii="Trebuchet MS" w:eastAsia="Arial Unicode MS" w:hAnsi="Trebuchet MS" w:cs="Times New Roman"/>
      <w:b/>
      <w:i/>
      <w:sz w:val="20"/>
      <w:u w:val="single"/>
      <w:lang w:val="en-GB" w:eastAsia="en-GB"/>
    </w:rPr>
  </w:style>
  <w:style w:type="character" w:customStyle="1" w:styleId="Heading6Char">
    <w:name w:val="Heading 6 Char"/>
    <w:basedOn w:val="DefaultParagraphFont"/>
    <w:link w:val="Heading6"/>
    <w:rsid w:val="00DE73D5"/>
    <w:rPr>
      <w:rFonts w:ascii="Century Gothic" w:eastAsia="Arial Unicode MS" w:hAnsi="Century Gothic" w:cs="Times New Roman"/>
      <w:b/>
      <w:sz w:val="20"/>
      <w:lang w:val="en-GB" w:eastAsia="en-GB"/>
    </w:rPr>
  </w:style>
  <w:style w:type="character" w:customStyle="1" w:styleId="Heading7Char">
    <w:name w:val="Heading 7 Char"/>
    <w:basedOn w:val="DefaultParagraphFont"/>
    <w:link w:val="Heading7"/>
    <w:rsid w:val="00DE73D5"/>
    <w:rPr>
      <w:rFonts w:ascii="Century Gothic" w:eastAsia="Times New Roman" w:hAnsi="Century Gothic" w:cs="Times New Roman"/>
      <w:color w:val="000000"/>
      <w:sz w:val="20"/>
      <w:lang w:val="en-GB" w:eastAsia="en-GB"/>
    </w:rPr>
  </w:style>
  <w:style w:type="character" w:customStyle="1" w:styleId="Heading8Char">
    <w:name w:val="Heading 8 Char"/>
    <w:basedOn w:val="DefaultParagraphFont"/>
    <w:link w:val="Heading8"/>
    <w:rsid w:val="00DE73D5"/>
    <w:rPr>
      <w:rFonts w:ascii="Century Gothic" w:eastAsia="Times New Roman" w:hAnsi="Century Gothic" w:cs="Times New Roman"/>
      <w:sz w:val="20"/>
      <w:szCs w:val="20"/>
      <w:lang w:val="en-GB" w:eastAsia="en-GB"/>
    </w:rPr>
  </w:style>
  <w:style w:type="character" w:customStyle="1" w:styleId="Heading9Char">
    <w:name w:val="Heading 9 Char"/>
    <w:basedOn w:val="DefaultParagraphFont"/>
    <w:link w:val="Heading9"/>
    <w:rsid w:val="00DE73D5"/>
    <w:rPr>
      <w:rFonts w:ascii="Century Gothic" w:eastAsia="Times New Roman" w:hAnsi="Century Gothic" w:cs="Times New Roman"/>
      <w:sz w:val="18"/>
      <w:lang w:val="en-GB" w:eastAsia="en-GB"/>
    </w:rPr>
  </w:style>
  <w:style w:type="paragraph" w:customStyle="1" w:styleId="AnnexureHeading1">
    <w:name w:val="Annexure Heading 1"/>
    <w:basedOn w:val="Normal"/>
    <w:next w:val="AnnexureHeading2"/>
    <w:qFormat/>
    <w:rsid w:val="00DE73D5"/>
    <w:pPr>
      <w:numPr>
        <w:numId w:val="6"/>
      </w:numPr>
      <w:spacing w:after="200" w:line="240" w:lineRule="auto"/>
    </w:pPr>
    <w:rPr>
      <w:rFonts w:cs="Arial Black"/>
      <w:color w:val="000000"/>
      <w:sz w:val="18"/>
      <w:szCs w:val="18"/>
    </w:rPr>
  </w:style>
  <w:style w:type="paragraph" w:customStyle="1" w:styleId="AnnexureHeading2">
    <w:name w:val="Annexure Heading 2"/>
    <w:basedOn w:val="Normal"/>
    <w:qFormat/>
    <w:rsid w:val="00DE73D5"/>
    <w:pPr>
      <w:numPr>
        <w:ilvl w:val="1"/>
        <w:numId w:val="6"/>
      </w:numPr>
    </w:pPr>
  </w:style>
  <w:style w:type="paragraph" w:customStyle="1" w:styleId="AnnexureHeading3">
    <w:name w:val="Annexure Heading 3"/>
    <w:basedOn w:val="Normal"/>
    <w:qFormat/>
    <w:rsid w:val="00DE73D5"/>
    <w:pPr>
      <w:numPr>
        <w:ilvl w:val="2"/>
        <w:numId w:val="6"/>
      </w:numPr>
    </w:pPr>
  </w:style>
  <w:style w:type="paragraph" w:customStyle="1" w:styleId="AnnexureHeading4">
    <w:name w:val="Annexure Heading 4"/>
    <w:basedOn w:val="Normal"/>
    <w:qFormat/>
    <w:rsid w:val="00DE73D5"/>
    <w:pPr>
      <w:numPr>
        <w:ilvl w:val="3"/>
        <w:numId w:val="6"/>
      </w:numPr>
    </w:pPr>
  </w:style>
  <w:style w:type="paragraph" w:customStyle="1" w:styleId="ScheduleHeading1">
    <w:name w:val="Schedule Heading 1"/>
    <w:basedOn w:val="Normal"/>
    <w:next w:val="ScheduleHeading2"/>
    <w:qFormat/>
    <w:rsid w:val="00DE73D5"/>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DE73D5"/>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DE73D5"/>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DE73D5"/>
    <w:pPr>
      <w:numPr>
        <w:ilvl w:val="3"/>
        <w:numId w:val="1"/>
      </w:numPr>
    </w:pPr>
  </w:style>
  <w:style w:type="paragraph" w:customStyle="1" w:styleId="AnnexureHeading5">
    <w:name w:val="Annexure Heading 5"/>
    <w:basedOn w:val="Normal"/>
    <w:qFormat/>
    <w:rsid w:val="00DE73D5"/>
    <w:pPr>
      <w:numPr>
        <w:ilvl w:val="4"/>
        <w:numId w:val="6"/>
      </w:numPr>
    </w:pPr>
  </w:style>
  <w:style w:type="paragraph" w:customStyle="1" w:styleId="ScheduleHeading5">
    <w:name w:val="Schedule Heading 5"/>
    <w:basedOn w:val="Normal"/>
    <w:qFormat/>
    <w:rsid w:val="00DE73D5"/>
    <w:pPr>
      <w:numPr>
        <w:ilvl w:val="4"/>
        <w:numId w:val="1"/>
      </w:numPr>
    </w:pPr>
  </w:style>
  <w:style w:type="paragraph" w:styleId="ListParagraph">
    <w:name w:val="List Paragraph"/>
    <w:basedOn w:val="Normal"/>
    <w:uiPriority w:val="1"/>
    <w:qFormat/>
    <w:rsid w:val="00DE73D5"/>
    <w:pPr>
      <w:numPr>
        <w:numId w:val="8"/>
      </w:numPr>
      <w:spacing w:after="240" w:line="260" w:lineRule="exact"/>
    </w:pPr>
  </w:style>
  <w:style w:type="character" w:customStyle="1" w:styleId="Bodytext2">
    <w:name w:val="Body text (2)"/>
    <w:basedOn w:val="DefaultParagraphFont"/>
    <w:rsid w:val="00DE73D5"/>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customStyle="1" w:styleId="Level1Bullet">
    <w:name w:val="Level 1 Bullet"/>
    <w:basedOn w:val="Normal"/>
    <w:rsid w:val="00DE73D5"/>
    <w:pPr>
      <w:numPr>
        <w:numId w:val="2"/>
      </w:numPr>
      <w:spacing w:before="120"/>
    </w:pPr>
    <w:rPr>
      <w:rFonts w:ascii="Calibri" w:hAnsi="Calibri" w:cs="Calibri"/>
      <w:szCs w:val="20"/>
    </w:rPr>
  </w:style>
  <w:style w:type="paragraph" w:customStyle="1" w:styleId="Level2Bullet">
    <w:name w:val="Level 2 Bullet"/>
    <w:basedOn w:val="BodyText3"/>
    <w:rsid w:val="00DE73D5"/>
    <w:pPr>
      <w:numPr>
        <w:ilvl w:val="1"/>
        <w:numId w:val="2"/>
      </w:numPr>
      <w:tabs>
        <w:tab w:val="clear" w:pos="1440"/>
        <w:tab w:val="num" w:pos="360"/>
      </w:tabs>
      <w:ind w:left="720" w:hanging="720"/>
    </w:pPr>
    <w:rPr>
      <w:rFonts w:ascii="Calibri" w:hAnsi="Calibri" w:cs="Calibri"/>
      <w:sz w:val="20"/>
      <w:szCs w:val="20"/>
    </w:rPr>
  </w:style>
  <w:style w:type="paragraph" w:styleId="FootnoteText">
    <w:name w:val="footnote text"/>
    <w:basedOn w:val="Normal"/>
    <w:link w:val="FootnoteTextChar"/>
    <w:uiPriority w:val="99"/>
    <w:semiHidden/>
    <w:unhideWhenUsed/>
    <w:rsid w:val="00DE73D5"/>
    <w:rPr>
      <w:szCs w:val="20"/>
      <w:lang w:eastAsia="en-US"/>
    </w:rPr>
  </w:style>
  <w:style w:type="character" w:customStyle="1" w:styleId="FootnoteTextChar">
    <w:name w:val="Footnote Text Char"/>
    <w:basedOn w:val="DefaultParagraphFont"/>
    <w:link w:val="FootnoteText"/>
    <w:uiPriority w:val="99"/>
    <w:semiHidden/>
    <w:rsid w:val="00DE73D5"/>
    <w:rPr>
      <w:rFonts w:ascii="Century Gothic" w:eastAsia="Times New Roman" w:hAnsi="Century Gothic" w:cs="Times New Roman"/>
      <w:sz w:val="20"/>
      <w:szCs w:val="20"/>
      <w:lang w:val="en-GB"/>
    </w:rPr>
  </w:style>
  <w:style w:type="character" w:styleId="FootnoteReference">
    <w:name w:val="footnote reference"/>
    <w:basedOn w:val="DefaultParagraphFont"/>
    <w:uiPriority w:val="99"/>
    <w:semiHidden/>
    <w:unhideWhenUsed/>
    <w:rsid w:val="00DE73D5"/>
    <w:rPr>
      <w:vertAlign w:val="superscript"/>
    </w:rPr>
  </w:style>
  <w:style w:type="paragraph" w:styleId="NoSpacing">
    <w:name w:val="No Spacing"/>
    <w:uiPriority w:val="1"/>
    <w:qFormat/>
    <w:rsid w:val="00DE73D5"/>
    <w:pPr>
      <w:spacing w:after="0" w:line="240" w:lineRule="auto"/>
    </w:pPr>
    <w:rPr>
      <w:lang w:val="en-GB"/>
    </w:rPr>
  </w:style>
  <w:style w:type="paragraph" w:styleId="BodyText3">
    <w:name w:val="Body Text 3"/>
    <w:basedOn w:val="Normal"/>
    <w:link w:val="BodyText3Char"/>
    <w:uiPriority w:val="99"/>
    <w:semiHidden/>
    <w:unhideWhenUsed/>
    <w:rsid w:val="00DE73D5"/>
    <w:rPr>
      <w:sz w:val="16"/>
      <w:szCs w:val="16"/>
    </w:rPr>
  </w:style>
  <w:style w:type="character" w:customStyle="1" w:styleId="BodyText3Char">
    <w:name w:val="Body Text 3 Char"/>
    <w:basedOn w:val="DefaultParagraphFont"/>
    <w:link w:val="BodyText3"/>
    <w:uiPriority w:val="99"/>
    <w:semiHidden/>
    <w:rsid w:val="00DE73D5"/>
    <w:rPr>
      <w:rFonts w:ascii="Century Gothic" w:eastAsia="Times New Roman" w:hAnsi="Century Gothic" w:cs="Times New Roman"/>
      <w:sz w:val="16"/>
      <w:szCs w:val="16"/>
      <w:lang w:val="en-GB" w:eastAsia="en-GB"/>
    </w:rPr>
  </w:style>
  <w:style w:type="paragraph" w:styleId="BalloonText">
    <w:name w:val="Balloon Text"/>
    <w:basedOn w:val="Normal"/>
    <w:link w:val="BalloonTextChar"/>
    <w:uiPriority w:val="99"/>
    <w:semiHidden/>
    <w:unhideWhenUsed/>
    <w:rsid w:val="003E0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CE0"/>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3E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CE0"/>
    <w:rPr>
      <w:rFonts w:ascii="Century Gothic" w:eastAsia="Times New Roman" w:hAnsi="Century Gothic" w:cs="Times New Roman"/>
      <w:sz w:val="20"/>
      <w:lang w:val="en-GB" w:eastAsia="en-GB"/>
    </w:rPr>
  </w:style>
  <w:style w:type="paragraph" w:styleId="Footer">
    <w:name w:val="footer"/>
    <w:basedOn w:val="Normal"/>
    <w:link w:val="FooterChar"/>
    <w:uiPriority w:val="99"/>
    <w:unhideWhenUsed/>
    <w:rsid w:val="003E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E0"/>
    <w:rPr>
      <w:rFonts w:ascii="Century Gothic" w:eastAsia="Times New Roman" w:hAnsi="Century Gothic" w:cs="Times New Roman"/>
      <w:sz w:val="20"/>
      <w:lang w:val="en-GB" w:eastAsia="en-GB"/>
    </w:rPr>
  </w:style>
  <w:style w:type="paragraph" w:styleId="Revision">
    <w:name w:val="Revision"/>
    <w:hidden/>
    <w:uiPriority w:val="99"/>
    <w:semiHidden/>
    <w:rsid w:val="00814221"/>
    <w:pPr>
      <w:spacing w:after="0" w:line="240" w:lineRule="auto"/>
    </w:pPr>
    <w:rPr>
      <w:rFonts w:ascii="Century Gothic" w:eastAsia="Times New Roman" w:hAnsi="Century Gothic" w:cs="Times New Roman"/>
      <w:sz w:val="20"/>
      <w:lang w:val="en-GB" w:eastAsia="en-GB"/>
    </w:rPr>
  </w:style>
  <w:style w:type="character" w:styleId="Hyperlink">
    <w:name w:val="Hyperlink"/>
    <w:basedOn w:val="DefaultParagraphFont"/>
    <w:uiPriority w:val="99"/>
    <w:unhideWhenUsed/>
    <w:rsid w:val="00EB0E60"/>
    <w:rPr>
      <w:color w:val="0563C1" w:themeColor="hyperlink"/>
      <w:u w:val="single"/>
    </w:rPr>
  </w:style>
  <w:style w:type="character" w:styleId="UnresolvedMention">
    <w:name w:val="Unresolved Mention"/>
    <w:basedOn w:val="DefaultParagraphFont"/>
    <w:uiPriority w:val="99"/>
    <w:semiHidden/>
    <w:unhideWhenUsed/>
    <w:rsid w:val="00EB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1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pga/2018/12/section/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CBA4-A84D-48F7-924D-7ABE39D5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cp:lastPrinted>2018-04-12T09:57:00Z</cp:lastPrinted>
  <dcterms:created xsi:type="dcterms:W3CDTF">2025-05-13T14:09:00Z</dcterms:created>
  <dcterms:modified xsi:type="dcterms:W3CDTF">2025-05-13T14:09:00Z</dcterms:modified>
</cp:coreProperties>
</file>